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6D" w:rsidRDefault="008A086D" w:rsidP="008A086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A086D" w:rsidRDefault="008A086D" w:rsidP="008A086D">
      <w:pPr>
        <w:jc w:val="center"/>
        <w:rPr>
          <w:rFonts w:ascii="Arial" w:hAnsi="Arial" w:cs="Arial"/>
          <w:b/>
        </w:rPr>
      </w:pPr>
    </w:p>
    <w:p w:rsidR="008A086D" w:rsidRDefault="008A086D" w:rsidP="008A086D">
      <w:pPr>
        <w:jc w:val="center"/>
        <w:rPr>
          <w:rFonts w:ascii="Arial" w:hAnsi="Arial" w:cs="Arial"/>
          <w:b/>
        </w:rPr>
      </w:pPr>
    </w:p>
    <w:p w:rsidR="008A086D" w:rsidRPr="008A086D" w:rsidRDefault="008A086D" w:rsidP="008A086D">
      <w:pPr>
        <w:jc w:val="center"/>
        <w:rPr>
          <w:rFonts w:ascii="Arial" w:hAnsi="Arial" w:cs="Arial"/>
          <w:b/>
        </w:rPr>
      </w:pPr>
      <w:r w:rsidRPr="008A086D">
        <w:rPr>
          <w:rFonts w:ascii="Arial" w:hAnsi="Arial" w:cs="Arial"/>
          <w:b/>
        </w:rPr>
        <w:t>PREFEITURA MUNICIPAL DE POUSO ALTO</w:t>
      </w:r>
    </w:p>
    <w:p w:rsidR="008A086D" w:rsidRDefault="008A086D" w:rsidP="008A086D">
      <w:pPr>
        <w:tabs>
          <w:tab w:val="center" w:pos="4252"/>
          <w:tab w:val="left" w:pos="6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A086D">
        <w:rPr>
          <w:rFonts w:ascii="Arial" w:hAnsi="Arial" w:cs="Arial"/>
          <w:b/>
        </w:rPr>
        <w:t>18.667.212/0001-92</w:t>
      </w:r>
      <w:r>
        <w:rPr>
          <w:rFonts w:ascii="Arial" w:hAnsi="Arial" w:cs="Arial"/>
          <w:b/>
        </w:rPr>
        <w:tab/>
      </w:r>
    </w:p>
    <w:p w:rsidR="008A086D" w:rsidRDefault="008A086D" w:rsidP="008A086D">
      <w:pPr>
        <w:tabs>
          <w:tab w:val="center" w:pos="4252"/>
          <w:tab w:val="left" w:pos="6270"/>
        </w:tabs>
        <w:rPr>
          <w:rFonts w:ascii="Arial" w:hAnsi="Arial" w:cs="Arial"/>
          <w:b/>
        </w:rPr>
      </w:pPr>
    </w:p>
    <w:p w:rsidR="008A086D" w:rsidRDefault="008A086D" w:rsidP="008A086D">
      <w:pPr>
        <w:jc w:val="center"/>
        <w:rPr>
          <w:rFonts w:ascii="Arial" w:hAnsi="Arial" w:cs="Arial"/>
          <w:b/>
        </w:rPr>
      </w:pPr>
    </w:p>
    <w:p w:rsidR="008A086D" w:rsidRDefault="008A086D" w:rsidP="008A08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Processo: 0062/2017      Modalidade: Pregão Presencial    Nº da Modalidade: 24</w:t>
      </w:r>
    </w:p>
    <w:p w:rsidR="008A086D" w:rsidRDefault="008A086D" w:rsidP="008A086D">
      <w:pPr>
        <w:rPr>
          <w:rFonts w:ascii="Arial" w:hAnsi="Arial" w:cs="Arial"/>
          <w:b/>
        </w:rPr>
      </w:pPr>
    </w:p>
    <w:p w:rsidR="008A086D" w:rsidRDefault="008A086D" w:rsidP="008A086D">
      <w:pPr>
        <w:rPr>
          <w:rFonts w:ascii="Arial" w:hAnsi="Arial" w:cs="Arial"/>
          <w:b/>
        </w:rPr>
      </w:pPr>
    </w:p>
    <w:p w:rsidR="008A086D" w:rsidRDefault="008A086D" w:rsidP="008A08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 – A</w:t>
      </w:r>
    </w:p>
    <w:p w:rsidR="008A086D" w:rsidRPr="008A086D" w:rsidRDefault="008A086D" w:rsidP="008A086D">
      <w:pPr>
        <w:jc w:val="center"/>
        <w:rPr>
          <w:rFonts w:ascii="Arial" w:hAnsi="Arial" w:cs="Arial"/>
          <w:b/>
        </w:rPr>
      </w:pPr>
    </w:p>
    <w:tbl>
      <w:tblPr>
        <w:tblW w:w="97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441"/>
        <w:gridCol w:w="1672"/>
        <w:gridCol w:w="584"/>
        <w:gridCol w:w="1208"/>
        <w:gridCol w:w="1413"/>
        <w:gridCol w:w="1013"/>
        <w:gridCol w:w="849"/>
        <w:gridCol w:w="392"/>
      </w:tblGrid>
      <w:tr w:rsidR="008A086D" w:rsidRPr="00770330" w:rsidTr="008A086D">
        <w:trPr>
          <w:trHeight w:val="300"/>
        </w:trPr>
        <w:tc>
          <w:tcPr>
            <w:tcW w:w="9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6D" w:rsidRDefault="008A086D" w:rsidP="008E5F69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953E9D">
              <w:rPr>
                <w:rFonts w:ascii="Arial" w:eastAsia="Times New Roman" w:hAnsi="Arial" w:cs="Arial"/>
                <w:b/>
                <w:color w:val="auto"/>
                <w:lang w:eastAsia="pt-BR"/>
              </w:rPr>
              <w:t>LOTE 01</w:t>
            </w:r>
            <w:r w:rsidRPr="00770330">
              <w:rPr>
                <w:rFonts w:ascii="Arial" w:eastAsia="Times New Roman" w:hAnsi="Arial" w:cs="Arial"/>
                <w:color w:val="auto"/>
                <w:lang w:eastAsia="pt-BR"/>
              </w:rPr>
              <w:t xml:space="preserve"> - RELAÇÃO DOS EQUIPAMENTOS DA PREFEITURA MUNICIPAL DE POUSO ALTO</w:t>
            </w:r>
          </w:p>
          <w:p w:rsidR="008A086D" w:rsidRDefault="008A086D" w:rsidP="008E5F69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</w:p>
          <w:p w:rsidR="008A086D" w:rsidRDefault="008A086D" w:rsidP="008E5F69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</w:p>
          <w:p w:rsidR="008A086D" w:rsidRPr="00770330" w:rsidRDefault="008A086D" w:rsidP="008E5F69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</w:p>
        </w:tc>
      </w:tr>
      <w:tr w:rsidR="008A086D" w:rsidRPr="00770330" w:rsidTr="008A086D">
        <w:trPr>
          <w:trHeight w:val="116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Área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Unidade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Ponto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Micros</w:t>
            </w: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Periféricos</w:t>
            </w:r>
          </w:p>
        </w:tc>
      </w:tr>
      <w:tr w:rsidR="008A086D" w:rsidRPr="00770330" w:rsidTr="008A086D">
        <w:trPr>
          <w:trHeight w:val="275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Impressora/ Multifuncional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Especificação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Especificação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Notebooks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 xml:space="preserve"> LCD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Educação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Secretaria de Educação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Secretária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HP Ink Adv. 1516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1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Recepção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Brother DCP 8070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Supervisora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Escola Distrito de Santana do Capivari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Secretaria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Brother DCP 8157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Sala AEE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Epson TX 220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Sala de Informática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Samsung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16</w:t>
            </w:r>
          </w:p>
        </w:tc>
      </w:tr>
      <w:tr w:rsidR="008A086D" w:rsidRPr="00770330" w:rsidTr="008A086D">
        <w:trPr>
          <w:trHeight w:val="292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Escola Rural - Bairro Sengó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Sala de Informática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Epson L220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 xml:space="preserve">Canon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10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Escola Municipal Ribeiro da Luz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Diretoria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Epson L220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3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Sala de Recursos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Samsung ML 1610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4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Sala de Informática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Samsung ML 2851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15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Saúde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PSF Pouso Alto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Recepção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Samsung ML 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Sala dos Agentes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Sala de Eletro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Brother DCP 8157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Consultório Médico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Consultório Odonto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Sala de Coleta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Ricoh Aficio 3510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PSF Capivari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Recepção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Ricoh Aficio 3510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Enfermagem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Consultório Médico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Samsung M2020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Sala dos Agentes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3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Centro de saúde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Recepção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Samsung M2020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Enfermagem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Samsung M2020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Vigilância em Saúde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HP M127FN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4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Farmácia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Psicóloga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Secretaria de Saúde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Secretário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Samsung ML 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Auxiliar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Assistência Social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Social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CRAS/ Bolsa Família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Recepção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Samsung SCX 3200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Psicóloga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Coordenação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Bolsa Família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HP M127FN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Turismo e Cultura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Biblioteca Municipal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Telecentro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8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Biblioteca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HP deskjet F4280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Secretária de Turismo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HP Officejet J3680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250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Administração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6D" w:rsidRPr="00770330" w:rsidRDefault="008A086D" w:rsidP="008E5F69">
            <w:pPr>
              <w:jc w:val="center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Prefeitura Municipal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Tributação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HP Officejet J3680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3</w:t>
            </w:r>
          </w:p>
        </w:tc>
      </w:tr>
      <w:tr w:rsidR="008A086D" w:rsidRPr="00770330" w:rsidTr="008A086D">
        <w:trPr>
          <w:trHeight w:val="268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Emater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272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Siat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HP 1020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Recepção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Epson LX 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</w:tr>
      <w:tr w:rsidR="008A086D" w:rsidRPr="00770330" w:rsidTr="008A086D">
        <w:trPr>
          <w:trHeight w:val="252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Jurídico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Recursos Humanos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Epson LX 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2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Licitações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HP Officejet J3680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3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Contabilidade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HP M127FN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3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Servidor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Tesouraria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HP M127FN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Almoxarifado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1</w:t>
            </w:r>
          </w:p>
        </w:tc>
      </w:tr>
      <w:tr w:rsidR="008A086D" w:rsidRPr="00770330" w:rsidTr="008A086D">
        <w:trPr>
          <w:trHeight w:val="268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Conselho Tutelar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86D" w:rsidRPr="00770330" w:rsidRDefault="008A086D" w:rsidP="008E5F69">
            <w:pPr>
              <w:jc w:val="right"/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</w:pPr>
            <w:r w:rsidRPr="00770330">
              <w:rPr>
                <w:rFonts w:ascii="Calibri" w:eastAsia="Times New Roman" w:hAnsi="Calibri" w:cs="Calibri"/>
                <w:color w:val="auto"/>
                <w:sz w:val="15"/>
                <w:szCs w:val="15"/>
                <w:lang w:eastAsia="pt-BR"/>
              </w:rPr>
              <w:t>5</w:t>
            </w:r>
          </w:p>
        </w:tc>
      </w:tr>
    </w:tbl>
    <w:p w:rsidR="008A086D" w:rsidRPr="00770330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Pr="00770330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Pr="00770330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Pr="00770330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Pr="00770330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hAnsi="Arial" w:cs="Arial"/>
          <w:b/>
        </w:rPr>
      </w:pPr>
    </w:p>
    <w:p w:rsidR="008A086D" w:rsidRDefault="008A086D" w:rsidP="008A086D">
      <w:pPr>
        <w:jc w:val="center"/>
        <w:rPr>
          <w:rFonts w:ascii="Arial" w:hAnsi="Arial" w:cs="Arial"/>
          <w:b/>
        </w:rPr>
      </w:pPr>
    </w:p>
    <w:p w:rsidR="008A086D" w:rsidRDefault="008A086D" w:rsidP="008A086D">
      <w:pPr>
        <w:jc w:val="center"/>
        <w:rPr>
          <w:rFonts w:ascii="Arial" w:hAnsi="Arial" w:cs="Arial"/>
          <w:b/>
        </w:rPr>
      </w:pPr>
    </w:p>
    <w:p w:rsidR="008A086D" w:rsidRDefault="008A086D" w:rsidP="008A086D">
      <w:pPr>
        <w:jc w:val="center"/>
        <w:rPr>
          <w:rFonts w:ascii="Arial" w:hAnsi="Arial" w:cs="Arial"/>
          <w:b/>
        </w:rPr>
      </w:pPr>
    </w:p>
    <w:p w:rsidR="008A086D" w:rsidRDefault="008A086D" w:rsidP="008A086D">
      <w:pPr>
        <w:jc w:val="center"/>
        <w:rPr>
          <w:rFonts w:ascii="Arial" w:hAnsi="Arial" w:cs="Arial"/>
          <w:b/>
        </w:rPr>
      </w:pPr>
    </w:p>
    <w:p w:rsidR="008A086D" w:rsidRDefault="008A086D" w:rsidP="008A086D">
      <w:pPr>
        <w:jc w:val="center"/>
        <w:rPr>
          <w:rFonts w:ascii="Arial" w:hAnsi="Arial" w:cs="Arial"/>
          <w:b/>
        </w:rPr>
      </w:pPr>
    </w:p>
    <w:p w:rsidR="008A086D" w:rsidRDefault="008A086D" w:rsidP="008A086D">
      <w:pPr>
        <w:jc w:val="center"/>
        <w:rPr>
          <w:rFonts w:ascii="Arial" w:hAnsi="Arial" w:cs="Arial"/>
          <w:b/>
        </w:rPr>
      </w:pPr>
    </w:p>
    <w:p w:rsidR="008A086D" w:rsidRDefault="008A086D" w:rsidP="008A086D">
      <w:pPr>
        <w:jc w:val="center"/>
        <w:rPr>
          <w:rFonts w:ascii="Arial" w:hAnsi="Arial" w:cs="Arial"/>
          <w:b/>
        </w:rPr>
      </w:pPr>
    </w:p>
    <w:p w:rsidR="008A086D" w:rsidRDefault="008A086D" w:rsidP="008A086D">
      <w:pPr>
        <w:jc w:val="center"/>
        <w:rPr>
          <w:rFonts w:ascii="Arial" w:hAnsi="Arial" w:cs="Arial"/>
          <w:b/>
        </w:rPr>
      </w:pPr>
    </w:p>
    <w:p w:rsidR="008A086D" w:rsidRDefault="008A086D" w:rsidP="008A086D">
      <w:pPr>
        <w:jc w:val="center"/>
        <w:rPr>
          <w:rFonts w:ascii="Arial" w:hAnsi="Arial" w:cs="Arial"/>
          <w:b/>
        </w:rPr>
      </w:pPr>
    </w:p>
    <w:p w:rsidR="008A086D" w:rsidRPr="008A086D" w:rsidRDefault="008A086D" w:rsidP="008A086D">
      <w:pPr>
        <w:jc w:val="center"/>
        <w:rPr>
          <w:rFonts w:ascii="Arial" w:hAnsi="Arial" w:cs="Arial"/>
          <w:b/>
        </w:rPr>
      </w:pPr>
      <w:r w:rsidRPr="008A086D">
        <w:rPr>
          <w:rFonts w:ascii="Arial" w:hAnsi="Arial" w:cs="Arial"/>
          <w:b/>
        </w:rPr>
        <w:t>PREFEITURA MUNICIPAL DE POUSO ALTO</w:t>
      </w:r>
    </w:p>
    <w:p w:rsidR="008A086D" w:rsidRDefault="008A086D" w:rsidP="008A086D">
      <w:pPr>
        <w:jc w:val="center"/>
        <w:rPr>
          <w:rFonts w:ascii="Arial" w:hAnsi="Arial" w:cs="Arial"/>
          <w:b/>
        </w:rPr>
      </w:pPr>
      <w:r w:rsidRPr="008A086D">
        <w:rPr>
          <w:rFonts w:ascii="Arial" w:hAnsi="Arial" w:cs="Arial"/>
          <w:b/>
        </w:rPr>
        <w:t>18.667.212/0001-92</w:t>
      </w:r>
    </w:p>
    <w:p w:rsidR="008A086D" w:rsidRDefault="008A086D" w:rsidP="008A086D">
      <w:pPr>
        <w:jc w:val="center"/>
        <w:rPr>
          <w:rFonts w:ascii="Arial" w:hAnsi="Arial" w:cs="Arial"/>
          <w:b/>
        </w:rPr>
      </w:pPr>
    </w:p>
    <w:p w:rsidR="008A086D" w:rsidRDefault="008A086D" w:rsidP="008A086D">
      <w:pPr>
        <w:jc w:val="center"/>
        <w:rPr>
          <w:rFonts w:ascii="Arial" w:hAnsi="Arial" w:cs="Arial"/>
          <w:b/>
        </w:rPr>
      </w:pPr>
    </w:p>
    <w:p w:rsidR="008A086D" w:rsidRDefault="008A086D" w:rsidP="008A08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Processo: 0062/2017      Modalidade: Pregão Presencial    Nº da Modalidade: 24</w:t>
      </w:r>
    </w:p>
    <w:p w:rsidR="008A086D" w:rsidRDefault="008A086D" w:rsidP="008A086D">
      <w:pPr>
        <w:rPr>
          <w:rFonts w:ascii="Arial" w:hAnsi="Arial" w:cs="Arial"/>
          <w:b/>
        </w:rPr>
      </w:pPr>
    </w:p>
    <w:p w:rsidR="008A086D" w:rsidRPr="008A086D" w:rsidRDefault="008A086D" w:rsidP="008A08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 - B</w:t>
      </w:r>
    </w:p>
    <w:p w:rsidR="008A086D" w:rsidRDefault="008A086D" w:rsidP="008A086D">
      <w:pPr>
        <w:jc w:val="center"/>
        <w:rPr>
          <w:rFonts w:ascii="Arial" w:eastAsia="Times New Roman" w:hAnsi="Arial" w:cs="Arial"/>
          <w:b/>
          <w:color w:val="auto"/>
          <w:lang w:eastAsia="pt-BR"/>
        </w:rPr>
      </w:pPr>
    </w:p>
    <w:p w:rsidR="008A086D" w:rsidRDefault="008A086D" w:rsidP="008A086D">
      <w:pPr>
        <w:jc w:val="center"/>
        <w:rPr>
          <w:rFonts w:ascii="Arial" w:eastAsia="Times New Roman" w:hAnsi="Arial" w:cs="Arial"/>
          <w:b/>
          <w:color w:val="auto"/>
          <w:lang w:eastAsia="pt-BR"/>
        </w:rPr>
      </w:pPr>
    </w:p>
    <w:p w:rsidR="008A086D" w:rsidRPr="00770330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  <w:r w:rsidRPr="00953E9D">
        <w:rPr>
          <w:rFonts w:ascii="Arial" w:eastAsia="Times New Roman" w:hAnsi="Arial" w:cs="Arial"/>
          <w:b/>
          <w:color w:val="auto"/>
          <w:lang w:eastAsia="pt-BR"/>
        </w:rPr>
        <w:t>LOTE 02</w:t>
      </w:r>
      <w:r w:rsidRPr="00770330">
        <w:rPr>
          <w:rFonts w:ascii="Arial" w:eastAsia="Times New Roman" w:hAnsi="Arial" w:cs="Arial"/>
          <w:color w:val="auto"/>
          <w:lang w:eastAsia="pt-BR"/>
        </w:rPr>
        <w:t xml:space="preserve"> - Relação dos sistemas públicos de informação utilizados nos setores e órgãos da </w:t>
      </w:r>
    </w:p>
    <w:p w:rsidR="008A086D" w:rsidRPr="00770330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  <w:r w:rsidRPr="00770330">
        <w:rPr>
          <w:rFonts w:ascii="Arial" w:eastAsia="Times New Roman" w:hAnsi="Arial" w:cs="Arial"/>
          <w:color w:val="auto"/>
          <w:lang w:eastAsia="pt-BR"/>
        </w:rPr>
        <w:t>Prefeitura Municipal de Pouso Alto</w:t>
      </w:r>
    </w:p>
    <w:p w:rsidR="008A086D" w:rsidRPr="00770330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p w:rsidR="008A086D" w:rsidRPr="00770330" w:rsidRDefault="008A086D" w:rsidP="008A086D">
      <w:pPr>
        <w:jc w:val="center"/>
        <w:rPr>
          <w:rFonts w:ascii="Arial" w:eastAsia="Times New Roman" w:hAnsi="Arial" w:cs="Arial"/>
          <w:color w:val="auto"/>
          <w:lang w:eastAsia="pt-B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678"/>
      </w:tblGrid>
      <w:tr w:rsidR="008A086D" w:rsidRPr="00770330" w:rsidTr="008E5F69">
        <w:tc>
          <w:tcPr>
            <w:tcW w:w="1951" w:type="dxa"/>
            <w:shd w:val="clear" w:color="auto" w:fill="auto"/>
          </w:tcPr>
          <w:p w:rsidR="008A086D" w:rsidRPr="00770330" w:rsidRDefault="008A086D" w:rsidP="008E5F69">
            <w:pPr>
              <w:jc w:val="center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Setores Usuários</w:t>
            </w:r>
          </w:p>
        </w:tc>
        <w:tc>
          <w:tcPr>
            <w:tcW w:w="3544" w:type="dxa"/>
            <w:shd w:val="clear" w:color="auto" w:fill="auto"/>
          </w:tcPr>
          <w:p w:rsidR="008A086D" w:rsidRPr="00770330" w:rsidRDefault="008A086D" w:rsidP="008E5F69">
            <w:pPr>
              <w:jc w:val="center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Sistemas Públicos de Informação</w:t>
            </w:r>
          </w:p>
        </w:tc>
        <w:tc>
          <w:tcPr>
            <w:tcW w:w="4678" w:type="dxa"/>
          </w:tcPr>
          <w:p w:rsidR="008A086D" w:rsidRPr="00770330" w:rsidRDefault="008A086D" w:rsidP="008E5F69">
            <w:pPr>
              <w:jc w:val="center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Órgãos Responsáveis pelo Desenvolvimento e Recebimento dos Arquivos e Informações dos Sistemas Públicos de Informação</w:t>
            </w:r>
          </w:p>
        </w:tc>
      </w:tr>
      <w:tr w:rsidR="008A086D" w:rsidRPr="00770330" w:rsidTr="008E5F69">
        <w:tc>
          <w:tcPr>
            <w:tcW w:w="1951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Gabinete, Convênios</w:t>
            </w:r>
          </w:p>
        </w:tc>
        <w:tc>
          <w:tcPr>
            <w:tcW w:w="3544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SIGCON (Sistema de Gestão de Convênios do Estado de Minas Gerais);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SICONV (Sistema de Convênio do Ministério do Planejamento);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SGI (Sistema de Gestão de Identidades do TCE-MG).</w:t>
            </w:r>
          </w:p>
        </w:tc>
        <w:tc>
          <w:tcPr>
            <w:tcW w:w="4678" w:type="dxa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Superintendência Central de Convênios do Estado de Minas Gerais;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Ministério do Planejamento;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 xml:space="preserve">- Tribunal de Contas do Estado de Minas Gerais. </w:t>
            </w:r>
          </w:p>
        </w:tc>
      </w:tr>
      <w:tr w:rsidR="008A086D" w:rsidRPr="00770330" w:rsidTr="008E5F69">
        <w:tc>
          <w:tcPr>
            <w:tcW w:w="1951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Cadastro e Tributação</w:t>
            </w:r>
          </w:p>
        </w:tc>
        <w:tc>
          <w:tcPr>
            <w:tcW w:w="3544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Simples Nacional (Acesso aos Entes Federados da Receita Federal);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SISOBRA</w:t>
            </w:r>
            <w:r>
              <w:rPr>
                <w:rFonts w:ascii="Calibri" w:hAnsi="Calibri" w:cs="Calibri"/>
                <w:color w:val="auto"/>
                <w:sz w:val="19"/>
                <w:szCs w:val="19"/>
              </w:rPr>
              <w:t>S</w:t>
            </w: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-Pref (Sistema de Gerenciamento de Obras do INSS);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 xml:space="preserve">- EDI - </w:t>
            </w:r>
            <w:r w:rsidRPr="00770330">
              <w:rPr>
                <w:rStyle w:val="st"/>
                <w:rFonts w:ascii="Calibri" w:hAnsi="Calibri" w:cs="Calibri"/>
                <w:color w:val="auto"/>
                <w:sz w:val="19"/>
                <w:szCs w:val="19"/>
              </w:rPr>
              <w:t>Electronic Data Interchange (Sistema de envio e recepção de dados para a Caixa Econômica Federal)</w:t>
            </w:r>
          </w:p>
        </w:tc>
        <w:tc>
          <w:tcPr>
            <w:tcW w:w="4678" w:type="dxa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Receita Federal do Brasil;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Instituto Nacional do Seguro Social do Ministério da Previdência Social;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Caixa Econômica Federal.</w:t>
            </w:r>
          </w:p>
        </w:tc>
      </w:tr>
      <w:tr w:rsidR="008A086D" w:rsidRPr="00770330" w:rsidTr="008E5F69">
        <w:tc>
          <w:tcPr>
            <w:tcW w:w="1951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Obras e Engenharia</w:t>
            </w:r>
          </w:p>
        </w:tc>
        <w:tc>
          <w:tcPr>
            <w:tcW w:w="3544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GEOBRAs (Obras Públicas do TCE-MG).</w:t>
            </w:r>
          </w:p>
        </w:tc>
        <w:tc>
          <w:tcPr>
            <w:tcW w:w="4678" w:type="dxa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Tribunal de Contas do Estado de Minas Gerais.</w:t>
            </w:r>
          </w:p>
        </w:tc>
      </w:tr>
      <w:tr w:rsidR="008A086D" w:rsidRPr="00770330" w:rsidTr="008E5F69">
        <w:tc>
          <w:tcPr>
            <w:tcW w:w="1951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Contabilidade</w:t>
            </w:r>
          </w:p>
        </w:tc>
        <w:tc>
          <w:tcPr>
            <w:tcW w:w="3544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SICOM (Sistema Informatizado de Contas do Município do TCE-MG);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SICONFI (Sistema de Informações Contábeis e Fiscais do Setor Público Brasileiro do Tesouro Nacional);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SIOPS (Sistema de Informações sobre Orçamentos Públicos em Saúde do Ministério da Saúde);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SIOPE (Sistema de Informações sobre Orçamentos Públicos em Educação do Ministério da Educação);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SIGPC (Sistema de Gestão de Prestação de Contas do FNDE);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</w:t>
            </w:r>
            <w:r>
              <w:rPr>
                <w:rFonts w:ascii="Calibri" w:hAnsi="Calibri" w:cs="Calibri"/>
                <w:color w:val="auto"/>
                <w:sz w:val="19"/>
                <w:szCs w:val="19"/>
              </w:rPr>
              <w:t xml:space="preserve"> </w:t>
            </w: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SIACE LRF (Sistema Informatizado de Apoio ao Controle Externo do TCE MG).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SEFIP (Sistema Empresa de Recolhimento do FGTS e Informações à Previdência Social do INSS);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Conectividade ICP (Canal eletrônico de envio das informações do SEFIP).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</w:tc>
        <w:tc>
          <w:tcPr>
            <w:tcW w:w="4678" w:type="dxa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Tribunal de Contas do Estado de Minas Gerais;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Secretaria do Tesouro Nacional do Ministério da Fazenda;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Ministério da Saúde;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Fundo Nacional de Desenvolvimento da Educação do Ministério da Educação;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Fundo Nacional de Desenvolvimento da Educação do Ministério da Educação;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Tribunal de Contas do Estado de Minas Gerais;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Caixa Econômica Federal;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Caixa Econômica Federal.</w:t>
            </w:r>
          </w:p>
        </w:tc>
      </w:tr>
      <w:tr w:rsidR="008A086D" w:rsidRPr="00770330" w:rsidTr="008E5F69">
        <w:tc>
          <w:tcPr>
            <w:tcW w:w="1951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Tesouraria</w:t>
            </w:r>
          </w:p>
        </w:tc>
        <w:tc>
          <w:tcPr>
            <w:tcW w:w="3544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Sistemas de internet banking dos bancos públicos oficiais.</w:t>
            </w:r>
          </w:p>
        </w:tc>
        <w:tc>
          <w:tcPr>
            <w:tcW w:w="4678" w:type="dxa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Caixa Econômica Federal e Banco do Brasil.</w:t>
            </w:r>
          </w:p>
        </w:tc>
      </w:tr>
      <w:tr w:rsidR="008A086D" w:rsidRPr="00770330" w:rsidTr="008E5F69">
        <w:tc>
          <w:tcPr>
            <w:tcW w:w="1951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Recursos Humanos</w:t>
            </w:r>
          </w:p>
        </w:tc>
        <w:tc>
          <w:tcPr>
            <w:tcW w:w="3544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RAIS (Relação Anual de Informações Socia</w:t>
            </w:r>
            <w:r>
              <w:rPr>
                <w:rFonts w:ascii="Calibri" w:hAnsi="Calibri" w:cs="Calibri"/>
                <w:color w:val="auto"/>
                <w:sz w:val="19"/>
                <w:szCs w:val="19"/>
              </w:rPr>
              <w:t>i</w:t>
            </w: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s do Ministério do Trabalho e Emprego);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DIRF (Declaração do Imposto de Renda retido na Fonte da Receita Federal do Brasil);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CADPREV (Sistema de Informações dos Regimes Públicos de Previdência Social do INSS);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lastRenderedPageBreak/>
              <w:t>- CAT (Comunicação de Acidente de Trabalho do INSS).</w:t>
            </w:r>
          </w:p>
        </w:tc>
        <w:tc>
          <w:tcPr>
            <w:tcW w:w="4678" w:type="dxa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lastRenderedPageBreak/>
              <w:t>- Ministério do Trabalho e Emprego;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Receita Federal do Brasil;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Instituto Nacional do Seguro Social do Ministério da Previdência Social;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lastRenderedPageBreak/>
              <w:t>- Instituto Nacional do Seguro Social do Ministério da Previdência Social.</w:t>
            </w:r>
          </w:p>
        </w:tc>
      </w:tr>
      <w:tr w:rsidR="008A086D" w:rsidRPr="00770330" w:rsidTr="008E5F69">
        <w:tc>
          <w:tcPr>
            <w:tcW w:w="1951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lastRenderedPageBreak/>
              <w:t>Secretaria de Saúde</w:t>
            </w:r>
          </w:p>
        </w:tc>
        <w:tc>
          <w:tcPr>
            <w:tcW w:w="3544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GEICOM (Sistema Gerenciador de Indicadores, Compromissos e Metas da Secretaria de Saúde do Estado de Minas Gerais);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CNES (Cadastro Nacional de Estabelecimentos de Saúde do Ministério da Saúde);</w:t>
            </w:r>
          </w:p>
        </w:tc>
        <w:tc>
          <w:tcPr>
            <w:tcW w:w="4678" w:type="dxa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Secretaria do Estado da Saúde de Minas Gerais;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Ministério da Saúde;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</w:tc>
      </w:tr>
      <w:tr w:rsidR="008A086D" w:rsidRPr="00770330" w:rsidTr="008E5F69">
        <w:tc>
          <w:tcPr>
            <w:tcW w:w="1951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PSF da sede do município e do distrito de Santana do Capivari</w:t>
            </w:r>
          </w:p>
        </w:tc>
        <w:tc>
          <w:tcPr>
            <w:tcW w:w="3544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ESUS (Sistema de Atenção Básica de Ministério da Saúde);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</w:tc>
        <w:tc>
          <w:tcPr>
            <w:tcW w:w="4678" w:type="dxa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Ministério da Saúde.</w:t>
            </w:r>
          </w:p>
        </w:tc>
      </w:tr>
      <w:tr w:rsidR="008A086D" w:rsidRPr="00770330" w:rsidTr="008E5F69">
        <w:tc>
          <w:tcPr>
            <w:tcW w:w="1951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Posto de Saúde da sede do município</w:t>
            </w:r>
          </w:p>
        </w:tc>
        <w:tc>
          <w:tcPr>
            <w:tcW w:w="3544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SINAN (Sistema de Informação de Agravos e Notificações do Ministério da Saúde);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SI-PNI (Sistema de Informação do Programa Nacional de Imunização do Ministério da Saúde);</w:t>
            </w:r>
          </w:p>
        </w:tc>
        <w:tc>
          <w:tcPr>
            <w:tcW w:w="4678" w:type="dxa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Ministério da Saúde;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Ministério da Saúde.</w:t>
            </w:r>
          </w:p>
        </w:tc>
      </w:tr>
      <w:tr w:rsidR="008A086D" w:rsidRPr="00770330" w:rsidTr="008E5F69">
        <w:tc>
          <w:tcPr>
            <w:tcW w:w="1951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Telecentro Comunitário</w:t>
            </w:r>
          </w:p>
        </w:tc>
        <w:tc>
          <w:tcPr>
            <w:tcW w:w="3544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Sistemas multiterminais com Linux Educacional.</w:t>
            </w:r>
          </w:p>
        </w:tc>
        <w:tc>
          <w:tcPr>
            <w:tcW w:w="4678" w:type="dxa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Ministério da Educação.</w:t>
            </w:r>
          </w:p>
        </w:tc>
      </w:tr>
      <w:tr w:rsidR="008A086D" w:rsidRPr="00770330" w:rsidTr="008E5F69">
        <w:tc>
          <w:tcPr>
            <w:tcW w:w="1951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 xml:space="preserve">Escolas municipais da sede do município, do distrito de Santana do Capivari e do bairro rural do Sengó. </w:t>
            </w:r>
          </w:p>
        </w:tc>
        <w:tc>
          <w:tcPr>
            <w:tcW w:w="3544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Sistemas multiterminais com Linux Educacional instalados em salas de recurso, bibliotecas e laboratórios de informática.</w:t>
            </w:r>
          </w:p>
        </w:tc>
        <w:tc>
          <w:tcPr>
            <w:tcW w:w="4678" w:type="dxa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Ministério da Educação.</w:t>
            </w:r>
          </w:p>
        </w:tc>
      </w:tr>
      <w:tr w:rsidR="008A086D" w:rsidRPr="00770330" w:rsidTr="008E5F69">
        <w:tc>
          <w:tcPr>
            <w:tcW w:w="1951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CRAS</w:t>
            </w:r>
          </w:p>
        </w:tc>
        <w:tc>
          <w:tcPr>
            <w:tcW w:w="3544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CADÚNICO (Sistema de Cadastramento Único para Programas Sociais do Ministério do De</w:t>
            </w:r>
            <w:r>
              <w:rPr>
                <w:rFonts w:ascii="Calibri" w:hAnsi="Calibri" w:cs="Calibri"/>
                <w:color w:val="auto"/>
                <w:sz w:val="19"/>
                <w:szCs w:val="19"/>
              </w:rPr>
              <w:t>senvolvimento Social e Combate à</w:t>
            </w: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 xml:space="preserve"> Fome).</w:t>
            </w:r>
          </w:p>
        </w:tc>
        <w:tc>
          <w:tcPr>
            <w:tcW w:w="4678" w:type="dxa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Ministério do Desenvolvimento Social e Combate à Fome.</w:t>
            </w:r>
          </w:p>
        </w:tc>
      </w:tr>
      <w:tr w:rsidR="008A086D" w:rsidRPr="00770330" w:rsidTr="008E5F69">
        <w:tc>
          <w:tcPr>
            <w:tcW w:w="1951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Junta do Serviço Militar</w:t>
            </w:r>
          </w:p>
        </w:tc>
        <w:tc>
          <w:tcPr>
            <w:tcW w:w="3544" w:type="dxa"/>
            <w:shd w:val="clear" w:color="auto" w:fill="auto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SASM (Sistema de Alistamento do Serviço Militar do Ministério da Defesa);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SERMIL (Sistema Eletrônico de Recrutamento Militar do Ministério da Defesa).</w:t>
            </w:r>
          </w:p>
        </w:tc>
        <w:tc>
          <w:tcPr>
            <w:tcW w:w="4678" w:type="dxa"/>
          </w:tcPr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Ministério da Defesa;</w:t>
            </w: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  <w:p w:rsidR="008A086D" w:rsidRPr="00770330" w:rsidRDefault="008A086D" w:rsidP="008E5F69">
            <w:pPr>
              <w:jc w:val="both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770330">
              <w:rPr>
                <w:rFonts w:ascii="Calibri" w:hAnsi="Calibri" w:cs="Calibri"/>
                <w:color w:val="auto"/>
                <w:sz w:val="19"/>
                <w:szCs w:val="19"/>
              </w:rPr>
              <w:t>- Ministério da Defesa.</w:t>
            </w:r>
          </w:p>
        </w:tc>
      </w:tr>
    </w:tbl>
    <w:p w:rsidR="000C26CD" w:rsidRDefault="000C26CD"/>
    <w:sectPr w:rsidR="000C26CD" w:rsidSect="008A086D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2F" w:rsidRDefault="00381A2F" w:rsidP="008A086D">
      <w:r>
        <w:separator/>
      </w:r>
    </w:p>
  </w:endnote>
  <w:endnote w:type="continuationSeparator" w:id="0">
    <w:p w:rsidR="00381A2F" w:rsidRDefault="00381A2F" w:rsidP="008A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2F" w:rsidRDefault="00381A2F" w:rsidP="008A086D">
      <w:r>
        <w:separator/>
      </w:r>
    </w:p>
  </w:footnote>
  <w:footnote w:type="continuationSeparator" w:id="0">
    <w:p w:rsidR="00381A2F" w:rsidRDefault="00381A2F" w:rsidP="008A0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6D"/>
    <w:rsid w:val="000C26CD"/>
    <w:rsid w:val="00381A2F"/>
    <w:rsid w:val="008A086D"/>
    <w:rsid w:val="00A545DE"/>
    <w:rsid w:val="00C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44E76-3404-4880-9BCE-21A26E93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86D"/>
    <w:pPr>
      <w:spacing w:after="0" w:line="240" w:lineRule="auto"/>
    </w:pPr>
    <w:rPr>
      <w:rFonts w:ascii="Cambria" w:eastAsia="Cambria" w:hAnsi="Cambria" w:cs="Times New Roman"/>
      <w:color w:val="5A5A5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8A086D"/>
  </w:style>
  <w:style w:type="paragraph" w:styleId="Cabealho">
    <w:name w:val="header"/>
    <w:basedOn w:val="Normal"/>
    <w:link w:val="CabealhoChar"/>
    <w:uiPriority w:val="99"/>
    <w:unhideWhenUsed/>
    <w:rsid w:val="008A0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086D"/>
    <w:rPr>
      <w:rFonts w:ascii="Cambria" w:eastAsia="Cambria" w:hAnsi="Cambria" w:cs="Times New Roman"/>
      <w:color w:val="5A5A5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A0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86D"/>
    <w:rPr>
      <w:rFonts w:ascii="Cambria" w:eastAsia="Cambria" w:hAnsi="Cambria" w:cs="Times New Roman"/>
      <w:color w:val="5A5A5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2017-04-28T16:20:00Z</dcterms:created>
  <dcterms:modified xsi:type="dcterms:W3CDTF">2017-04-28T16:20:00Z</dcterms:modified>
</cp:coreProperties>
</file>